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9D" w:rsidRDefault="006A15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159D" w:rsidRDefault="006A159D">
      <w:pPr>
        <w:pStyle w:val="ConsPlusNormal"/>
        <w:jc w:val="both"/>
        <w:outlineLvl w:val="0"/>
      </w:pPr>
    </w:p>
    <w:p w:rsidR="006A159D" w:rsidRDefault="006A159D">
      <w:pPr>
        <w:pStyle w:val="ConsPlusNormal"/>
        <w:outlineLvl w:val="0"/>
      </w:pPr>
      <w:r>
        <w:t>Зарегистрировано в Минюсте России 16 декабря 2020 г. N 61509</w:t>
      </w:r>
    </w:p>
    <w:p w:rsidR="006A159D" w:rsidRDefault="006A1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Title"/>
        <w:jc w:val="center"/>
      </w:pPr>
      <w:r>
        <w:t>МИНИСТЕРСТВО ПРИРОДНЫХ РЕСУРСОВ И ЭКОЛОГИИ</w:t>
      </w:r>
    </w:p>
    <w:p w:rsidR="006A159D" w:rsidRDefault="006A159D">
      <w:pPr>
        <w:pStyle w:val="ConsPlusTitle"/>
        <w:jc w:val="center"/>
      </w:pPr>
      <w:r>
        <w:t>РОССИЙСКОЙ ФЕДЕРАЦИИ</w:t>
      </w:r>
    </w:p>
    <w:p w:rsidR="006A159D" w:rsidRDefault="006A159D">
      <w:pPr>
        <w:pStyle w:val="ConsPlusTitle"/>
        <w:jc w:val="both"/>
      </w:pPr>
    </w:p>
    <w:p w:rsidR="006A159D" w:rsidRDefault="006A159D">
      <w:pPr>
        <w:pStyle w:val="ConsPlusTitle"/>
        <w:jc w:val="center"/>
      </w:pPr>
      <w:r>
        <w:t>ПРИКАЗ</w:t>
      </w:r>
    </w:p>
    <w:p w:rsidR="006A159D" w:rsidRDefault="006A159D">
      <w:pPr>
        <w:pStyle w:val="ConsPlusTitle"/>
        <w:jc w:val="center"/>
      </w:pPr>
      <w:r>
        <w:t>от 9 ноября 2020 г. N 912</w:t>
      </w:r>
    </w:p>
    <w:p w:rsidR="006A159D" w:rsidRDefault="006A159D">
      <w:pPr>
        <w:pStyle w:val="ConsPlusTitle"/>
        <w:jc w:val="both"/>
      </w:pPr>
    </w:p>
    <w:p w:rsidR="006A159D" w:rsidRDefault="006A159D">
      <w:pPr>
        <w:pStyle w:val="ConsPlusTitle"/>
        <w:jc w:val="center"/>
      </w:pPr>
      <w:r>
        <w:t>ОБ УТВЕРЖДЕНИИ ПРАВИЛ</w:t>
      </w:r>
    </w:p>
    <w:p w:rsidR="006A159D" w:rsidRDefault="006A159D">
      <w:pPr>
        <w:pStyle w:val="ConsPlusTitle"/>
        <w:jc w:val="center"/>
      </w:pPr>
      <w:r>
        <w:t>ОСУЩЕСТВЛЕНИЯ МЕРОПРИЯТИЙ ПО ПРЕДУПРЕЖДЕНИЮ</w:t>
      </w:r>
    </w:p>
    <w:p w:rsidR="006A159D" w:rsidRDefault="006A159D">
      <w:pPr>
        <w:pStyle w:val="ConsPlusTitle"/>
        <w:jc w:val="center"/>
      </w:pPr>
      <w:r>
        <w:t>РАСПРОСТРАНЕНИЯ ВРЕДНЫХ ОРГАНИЗМОВ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60.7</w:t>
        </w:r>
      </w:hyperlink>
      <w:r>
        <w:t xml:space="preserve"> Лесного кодекса Российской Федерации (Собрание законодательства, 2006, N 50, ст. 5278; 2018, N 53, ст. 8464) и </w:t>
      </w:r>
      <w:hyperlink r:id="rId7" w:history="1">
        <w:r>
          <w:rPr>
            <w:color w:val="0000FF"/>
          </w:rPr>
          <w:t>подпунктом 5.2.141(2)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42, ст. 6635), приказываю: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мероприятий по предупреждению распространения вредных организмов.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right"/>
      </w:pPr>
      <w:r>
        <w:t>Министр</w:t>
      </w:r>
    </w:p>
    <w:p w:rsidR="006A159D" w:rsidRDefault="006A159D">
      <w:pPr>
        <w:pStyle w:val="ConsPlusNormal"/>
        <w:jc w:val="right"/>
      </w:pPr>
      <w:r>
        <w:t>природных ресурсов и экологии</w:t>
      </w:r>
    </w:p>
    <w:p w:rsidR="006A159D" w:rsidRDefault="006A159D">
      <w:pPr>
        <w:pStyle w:val="ConsPlusNormal"/>
        <w:jc w:val="right"/>
      </w:pPr>
      <w:r>
        <w:t>Российской Федерации</w:t>
      </w:r>
    </w:p>
    <w:p w:rsidR="006A159D" w:rsidRDefault="006A159D">
      <w:pPr>
        <w:pStyle w:val="ConsPlusNormal"/>
        <w:jc w:val="right"/>
      </w:pPr>
      <w:r>
        <w:t>Д.Н.КОБЫЛКИН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right"/>
        <w:outlineLvl w:val="0"/>
      </w:pPr>
      <w:r>
        <w:t>Утверждены</w:t>
      </w:r>
    </w:p>
    <w:p w:rsidR="006A159D" w:rsidRDefault="006A159D">
      <w:pPr>
        <w:pStyle w:val="ConsPlusNormal"/>
        <w:jc w:val="right"/>
      </w:pPr>
      <w:r>
        <w:t>приказом Минприроды России</w:t>
      </w:r>
    </w:p>
    <w:p w:rsidR="006A159D" w:rsidRDefault="006A159D">
      <w:pPr>
        <w:pStyle w:val="ConsPlusNormal"/>
        <w:jc w:val="right"/>
      </w:pPr>
      <w:r>
        <w:t>от 09.11.2020 N 912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Title"/>
        <w:jc w:val="center"/>
      </w:pPr>
      <w:bookmarkStart w:id="0" w:name="P31"/>
      <w:bookmarkEnd w:id="0"/>
      <w:r>
        <w:t>ПРАВИЛА</w:t>
      </w:r>
    </w:p>
    <w:p w:rsidR="006A159D" w:rsidRDefault="006A159D">
      <w:pPr>
        <w:pStyle w:val="ConsPlusTitle"/>
        <w:jc w:val="center"/>
      </w:pPr>
      <w:r>
        <w:t>ОСУЩЕСТВЛЕНИЯ МЕРОПРИЯТИЙ ПО ПРЕДУПРЕЖДЕНИЮ</w:t>
      </w:r>
    </w:p>
    <w:p w:rsidR="006A159D" w:rsidRDefault="006A159D">
      <w:pPr>
        <w:pStyle w:val="ConsPlusTitle"/>
        <w:jc w:val="center"/>
      </w:pPr>
      <w:r>
        <w:t>РАСПРОСТРАНЕНИЯ ВРЕДНЫХ ОРГАНИЗМОВ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Title"/>
        <w:jc w:val="center"/>
        <w:outlineLvl w:val="1"/>
      </w:pPr>
      <w:r>
        <w:t>I. Общие положения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ind w:firstLine="540"/>
        <w:jc w:val="both"/>
      </w:pPr>
      <w:r>
        <w:t>1. Предупреждение распространения вредных организмов в лесах включает в себя проведение: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а) профилактических мероприятий по защите лесов;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б) санитарно-оздоровительных мероприятий, в том числе рубок погибших и поврежденных лесных насаждений;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в) других определенных уполномоченным федеральным органом исполнительной власти </w:t>
      </w:r>
      <w:r>
        <w:lastRenderedPageBreak/>
        <w:t>мероприятий &lt;1&gt;.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60.7</w:t>
        </w:r>
      </w:hyperlink>
      <w:r>
        <w:t xml:space="preserve"> Лесного кодекса Российской Федерации (Собрание законодательства Российской Федерации, 2006, N 50; 2020, N 31, ст. 5028)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ind w:firstLine="540"/>
        <w:jc w:val="both"/>
      </w:pPr>
      <w:r>
        <w:t xml:space="preserve">2. Проведение мероприятий по предупреждению распространения вредных организмов обеспечивается органами исполнительной власти и органами местного самоуправления в пределах полномочий, определенных в соответствии со </w:t>
      </w:r>
      <w:hyperlink r:id="rId9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0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50; 2020, N 31, ст. 5028) (далее - уполномоченные органы) (далее - Лесной кодекс) в соответствии с правилами санитарной безопасности в лесах, утверждаемыми Правительством Российской Федерации в соответствии с </w:t>
      </w:r>
      <w:hyperlink r:id="rId11" w:history="1">
        <w:r>
          <w:rPr>
            <w:color w:val="0000FF"/>
          </w:rPr>
          <w:t>частью 3 статьи 60.3</w:t>
        </w:r>
      </w:hyperlink>
      <w:r>
        <w:t xml:space="preserve"> Лесного кодекса.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3. Мероприятия по предупреждению распространения вредных организмов на лесных участках, предоставленных в постоянное (бессрочное) пользование, аренду, осуществляются лицами, использующими леса, на основании проекта освоения лесов; на лесных участках, не предоставленных в постоянное (бессрочное) пользование, аренду уполномоченными органами.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4. Мероприятия по предупреждению распространения вредных организмов осуществляются 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Лесного кодекса.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5. Документированная информация, подтверждающая осуществление мероприятий по предупреждению распространения вредных организмов и иных мер санитарной безопасности в лесах, представляется для внесения в государственный лесной реестр в порядке, установленном </w:t>
      </w:r>
      <w:hyperlink r:id="rId13" w:history="1">
        <w:r>
          <w:rPr>
            <w:color w:val="0000FF"/>
          </w:rPr>
          <w:t>частью 9 статьи 91</w:t>
        </w:r>
      </w:hyperlink>
      <w:r>
        <w:t xml:space="preserve"> Лесного кодекса, а информация в части проведения сплошных и выборочных санитарных рубок, рубок аварийных деревьев представляется в Единую государственную автоматизированную информационную систему учета древесины и сделок с ней.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6. В лесах, расположенных на особо охраняемых природных территориях, проведение мероприятий по предупреждению распространения вредных организмов осуществляется с учетом особенностей режима особой охраны территорий.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7. Не допускается осуществление мероприятий по предупреждению распространения вредных организмов: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1) в случае, если такие мероприятия не предусмотрены соответствующим актом лесопатологического обследования;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2) в случае,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3) в течение двадцати дней после размещения в соответствии с </w:t>
      </w:r>
      <w:hyperlink r:id="rId14" w:history="1">
        <w:r>
          <w:rPr>
            <w:color w:val="0000FF"/>
          </w:rPr>
          <w:t>частью 3 статьи 60.6</w:t>
        </w:r>
      </w:hyperlink>
      <w:r>
        <w:t xml:space="preserve"> Лесного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информационно-телекоммуникационной сети "Интернет". &lt;2&gt;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Часть 4 статьи 60.7</w:t>
        </w:r>
      </w:hyperlink>
      <w:r>
        <w:t xml:space="preserve"> Лесного кодекса (Собрание законодательства Российской Федерации, 2006, N 50, ст. 5278; 2018, N 53, ст. 8464)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ind w:firstLine="540"/>
        <w:jc w:val="both"/>
      </w:pPr>
      <w:r>
        <w:t xml:space="preserve">8. В случае выявления в лесах вредных организмов, отнесенных к карантинным объектам, для профилактики их распространения осуществляется комплекс мероприятий в соответствии с </w:t>
      </w:r>
      <w:r>
        <w:lastRenderedPageBreak/>
        <w:t>законодательством Российской Федерации в области карантина растений в части, не противоречащей лесному законодательству.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Title"/>
        <w:jc w:val="center"/>
        <w:outlineLvl w:val="1"/>
      </w:pPr>
      <w:r>
        <w:t>II. Профилактические мероприятия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ind w:firstLine="540"/>
        <w:jc w:val="both"/>
      </w:pPr>
      <w:r>
        <w:t>9. Профилактические мероприятия направлены на повышение устойчивости лесов и предотвращение неблагоприятных воздействий на леса.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10. Профилактические мероприятия проводятся с целью предотвращения формирования очагов вредных лесных организмов и (или) с целью предотвращения нанесения ущерба лесам вредными лесными организмами и осуществляются как на постоянной основе в течение ряда лет, так и в течение одного - двух лет.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11. Профилактические мероприятия планируются на основании прогноза развития вспышек массового размножения вредных лесных организмов в лесах, в которых прогнозируется формирование очагов, или в случае, когда применение иных мер защиты леса запрещено федеральными законами.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Результаты планирования профилактических мероприятий отражаются в лесном плане субъекта Российской Федерации, лесохозяйственных регламентах и проектах освоения лесов.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12. Основанием для назначения профилактических мероприятий являются результаты лесопатологических обследований (далее - ЛПО).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13. Профилактические мероприятия подразделяются на лесохозяйственные и биотехнические.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14. К профилактическим лесохозяйственным мероприятиям относятся: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а) использование удобрений и минеральных добавок для повышения устойчивости лесных насаждений в неблагоприятные периоды (засуха, повреждение насекомыми);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б) лечение деревьев;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в) применение пестицидов и биологических средств защиты леса для предотвращения появления очагов вредных организмов.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15. Лечение деревьев осуществляется в первую очередь на лесных участках, предоставленных для осуществления рекреационной деятельности. Лечение деревьев заключается в обрезке отдельных усыхающих и поврежденных ветвей, удалении плодовых тел дереворазрушающих грибов, лечении ран, санации дупел.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16. Применение пестицидов и биологических средств защиты леса, в том числе способом внутристволового инъектирования деревьев, для предотвращения появления очагов вредных организмов в первую очередь производится на участках ценных лесов, объектах лесного семеноводства, в питомниках, лесах, расположенных вблизи населенных пунктов, на основании прогнозных данных на начальной фазе развития очага вредного организма. При этом не допускается использование пестицидов, которые не внесены в Государственный каталог пестицидов и агрохимикатов, разрешенных к применению на территории Российской Федерации, действующий на период проведения мероприятий (далее - пестициды).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17. Внутристволовое инъектирование деревьев осуществляется с целью снижения численности стволовых вредителей, гнилевых, сосудистых и иных болезней с использованием пестицидов и регламентов их применения.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18. Профилактическими биотехническими мероприятиями являются: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lastRenderedPageBreak/>
        <w:t>а) улучшение условий обитания и размножения насекомоядных птиц и других насекомоядных животных;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б) охрана местообитаний, выпуск, расселение и интродукция насекомых-энтомофагов;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в) посев травянистых нектароносных растений;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г) использование феромонов.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19. Улучшение условий обитания и размножения насекомоядных птиц и других насекомоядных животных заключается в их охране, посадке деревьев и кустарников для гнездования, развешивании скворечников и дуплянок, подкормке, посадке ремиз (полос или куртин из древесных или кустарниковых растений, служащих местами укрытия и кормления полезных птиц), сохранении и создании в лесу источников воды.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20. Охрана местообитаний насекомых-энтомофагов заключается в создании условий, способствующих поддержанию численности природных популяций энтомофагов в конкретных участках леса, а также обеспечивающих их сохранение и накопление.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21. Использование энтомофагов в качестве средства профилактики формирования очагов и (или) предотвращения нанесения ущерба лесам осуществляется следующими методами: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а) выпуск энтомофагов (метод сезонной колонизации) - лабораторное разведение и выпуск накопленного запаса энтомофагов на лесных участках;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б) расселение энтомофагов (внутриареальное расселение) - массовое переселение специализированных паразитов и хищников (олигофагов), возбудителей заболеваний из старых очагов вредных организмов во вновь возникающие очаги в пределах зоны, где эти естественные враги отсутствуют или еще не накопились.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в) интродукция энтомофагов - изыскание эффективных естественных врагов на родине вредителя и их последующее переселение (акклиматизация) в новые районы.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22. Посев травянистых нектароносных растений производится в непосредственной близости от лесотаксационных выделов или их частей, на которых возникают очаги вредных насекомых, или по опушкам этих лесотаксационных выделов или их частей.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23. Использование феромонов необходимо для раннего выявления очагов, отслеживания динамики численности популяций вредителей, а в определенных случаях - и для их истребления путем массового отлова, а также для определения сроков проведения защитных мероприятий и оценки их эффективности.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Title"/>
        <w:jc w:val="center"/>
        <w:outlineLvl w:val="1"/>
      </w:pPr>
      <w:r>
        <w:t>III. Санитарно-оздоровительные мероприятия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ind w:firstLine="540"/>
        <w:jc w:val="both"/>
      </w:pPr>
      <w:r>
        <w:t>24. Санитарно-оздоровительные мероприятия (далее - СОМ) проводятся с целью улучшения санитарного и лесопатологического состояния лесных насаждений, уменьшения угрозы распространения вредных организмов, борьбы с вредителями и болезнями леса, обеспечения лесными насаждениями своих целевых функций, а также снижения ущерба от воздействия неблагоприятных факторов (воздействие огня, погодные условия, почвенно-климатические факторы и другие, биотические и абиотические факторы, наносящие ущерб устойчивости или целевой функции лесов).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25. СОМ назначают в первую очередь в насаждениях, поврежденных пожаром, ветром, снегом, засухой, промышленными выбросами или иными неблагоприятными факторами, а также в очагах болезней леса и массового размножения вредных насекомых, вызвавших повреждение и гибель деревьев в размерах, угрожающих целостности и устойчивости лесных насаждений, </w:t>
      </w:r>
      <w:r>
        <w:lastRenderedPageBreak/>
        <w:t>нарушению их целевых функций.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При проведении СОМ должны соблюдаться требования охраны животного мира, редких и исчезающих видов растений и уникальных растительных сообществ.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26. К СОМ относятся рубка погибших (утративших жизнеспособность в результате воздействия неблагоприятных факторов) и поврежденных (имеющих видимые признаки воздействия неблагоприятных факторов) лесных насаждений, уборка неликвидной древесины (уборка как поваленных, так и стоящих деревьев, древесина которых оставляется на перегнивание на лесосеке).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27. Планирование объемов СОМ отражается в лесном плане субъекта Российской Федерации, лесохозяйственном регламенте лесничества на основании данных государственного лесопатологического мониторинга и/или ЛПО.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28. Сведения о видах и объемах СОМ, планируемых к проведению лицами, использующими леса на основании договора аренды, решения о передаче лесного участка в постоянное (бессрочное) пользование, отражаются в лесной декларации.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29. При распределении объемов СОМ по кварталам года учитываются степень и время повреждения лесных насаждений, биология древесной породы, вредных насекомых и возбудителей заболеваний. Во избежание распространения инфекции сплошные и выборочные санитарные рубки следует проводить преимущественно в зимний период.</w:t>
      </w:r>
    </w:p>
    <w:p w:rsidR="006A159D" w:rsidRDefault="006A159D">
      <w:pPr>
        <w:pStyle w:val="ConsPlusNormal"/>
        <w:spacing w:before="220"/>
        <w:ind w:firstLine="540"/>
        <w:jc w:val="both"/>
      </w:pPr>
      <w:bookmarkStart w:id="1" w:name="P96"/>
      <w:bookmarkEnd w:id="1"/>
      <w:r>
        <w:t>30. СОМ не планируются в лесных насаждениях 4 и 5 бонитетов, за исключением случаев угрозы возникновения и распространения в этих лесных насаждениях очагов вредных организмов, а также в лесничествах, где лесные насаждения данных бонитетов являются преобладающими.</w:t>
      </w:r>
    </w:p>
    <w:p w:rsidR="006A159D" w:rsidRDefault="006A159D">
      <w:pPr>
        <w:pStyle w:val="ConsPlusNormal"/>
        <w:spacing w:before="220"/>
        <w:ind w:firstLine="540"/>
        <w:jc w:val="both"/>
      </w:pPr>
      <w:bookmarkStart w:id="2" w:name="P97"/>
      <w:bookmarkEnd w:id="2"/>
      <w:r>
        <w:t>31. СОМ планируются в защитных и эксплуатационных лесах, кроме заповедных участков.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32. Отвод лесосек для проведения СОМ проводится в вегетационный период, кроме лесотаксационных выделов или их частей, поврежденных ветрами и верховыми пожарами, или в чистых по составу вечнозеленых лесных насаждениях (8 и более единиц вечнозеленых и хвойных пород в составе насаждений, за исключением лиственницы).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33. Размер лесосек и сроки примыкания для проведения СОМ не лимитируется. Доля ликвидной, в том числе деловой древесины, устанавливается на основании материальной оценки лесосек.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34. Рубка погибших и поврежденных лесных насаждений проводится в форме сплошной (для погибших и поврежденных насаждений) и выборочной (для поврежденных насаждений) санитарной рубки.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35. При проведении сплошных санитарных рубок в лесных насаждениях обязательным условием является обеспечение лесовосстановления способами, предусмотренными правилами лесовосстановления, утверждаемыми уполномоченным федеральным органом исполнительной власти в соответствии с </w:t>
      </w:r>
      <w:hyperlink r:id="rId16" w:history="1">
        <w:r>
          <w:rPr>
            <w:color w:val="0000FF"/>
          </w:rPr>
          <w:t>частью 3 статьи 62</w:t>
        </w:r>
      </w:hyperlink>
      <w:r>
        <w:t xml:space="preserve"> Лесного кодекса.</w:t>
      </w:r>
    </w:p>
    <w:p w:rsidR="006A159D" w:rsidRDefault="006A15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5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59D" w:rsidRDefault="006A15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59D" w:rsidRDefault="006A15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59D" w:rsidRDefault="006A15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159D" w:rsidRDefault="006A159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01.01.2022 ст. 29 изложена в новой редакции. Положения </w:t>
            </w:r>
            <w:hyperlink r:id="rId17" w:history="1">
              <w:r>
                <w:rPr>
                  <w:color w:val="0000FF"/>
                </w:rPr>
                <w:t>ч. 9 ст. 29</w:t>
              </w:r>
            </w:hyperlink>
            <w:r>
              <w:rPr>
                <w:color w:val="392C69"/>
              </w:rPr>
              <w:t xml:space="preserve"> прежней редакции см. в </w:t>
            </w:r>
            <w:hyperlink r:id="rId18" w:history="1">
              <w:r>
                <w:rPr>
                  <w:color w:val="0000FF"/>
                </w:rPr>
                <w:t>ч. 11 ст. 29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59D" w:rsidRDefault="006A159D">
            <w:pPr>
              <w:spacing w:after="1" w:line="0" w:lineRule="atLeast"/>
            </w:pPr>
          </w:p>
        </w:tc>
      </w:tr>
    </w:tbl>
    <w:p w:rsidR="006A159D" w:rsidRDefault="006A159D">
      <w:pPr>
        <w:pStyle w:val="ConsPlusNormal"/>
        <w:spacing w:before="280"/>
        <w:ind w:firstLine="540"/>
        <w:jc w:val="both"/>
      </w:pPr>
      <w:r>
        <w:t xml:space="preserve">На лесосеках, на которых осуществляются сплошные санитарные рубки в спелых и перестойных лесных насаждениях при содействии естественному восстановлению лесов, сохраняются выделенные при отводе лесосек источники обсеменения, к которым относятся </w:t>
      </w:r>
      <w:r>
        <w:lastRenderedPageBreak/>
        <w:t xml:space="preserve">единичные семенники, семенные группы, куртины, полосы, семенные деревья согласно с </w:t>
      </w:r>
      <w:hyperlink r:id="rId19" w:history="1">
        <w:r>
          <w:rPr>
            <w:color w:val="0000FF"/>
          </w:rPr>
          <w:t>правилам</w:t>
        </w:r>
      </w:hyperlink>
      <w:r>
        <w:t xml:space="preserve"> заготовки древесины, утверждаемым уполномоченным федеральным органом исполнительной власти в соответствии с </w:t>
      </w:r>
      <w:hyperlink r:id="rId20" w:history="1">
        <w:r>
          <w:rPr>
            <w:color w:val="0000FF"/>
          </w:rPr>
          <w:t>частью 9 статьи 29</w:t>
        </w:r>
      </w:hyperlink>
      <w:r>
        <w:t xml:space="preserve"> Лесного кодекса.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36. В поврежденных и погибших молодняках проводится уборка неликвидной древесины, при наличии погибших семенников проводятся выборочные санитарные рубки и (или) уборка неликвидной древесины.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37. В эксплуатационных лесах выборочные санитарные рубки проводятся при наличии патологического отпада (деревья, заселенные стволовыми вредителями, сухостой, ветровал, бурелом), объем которого в лесных насаждениях на лесотаксационном выделе или его части в 2 и более раз превышает объем естественного отпада (деревья, отмершие в результате самоизреживания древостоя), величина которого определяется по таблицам хода роста древостоя, отражающим закономерности хода роста лесных насаждений на соответствующей территории. В защитных лесах интенсивность выборочной санитарной рубки определяется в соответствии с правилами заготовки древесины.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38. Отвод лесосек под санитарные сплошные и выборочные рубки производится по результатам ЛПО, проводимого инструментальным способом в соответствии с правилами заготовки древесины.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39. Уменьшение периметра лесосеки (уменьшение количества углов поворота) при отводе в сплошную и выборочную санитарную рубку допускается в пределах, не превышающих 10% от площади погибшего или поврежденного участка леса.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40. На визирах лесосек, отводимых в выборочную санитарную рубку, деревья не срубаются, и визиры расчищаются за счет обрубки сучьев и веток, а также рубки кустарника.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41. При назначении сплошной и выборочной санитарной рубки отбираются деревья 5-й категории состояния. Ветровал, бурелом и снеголом относят к 5-й категории состояния.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42. Допускается назначение в санитарную рубку деревьев иных категорий состояния в следующих случаях.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В защитных и эксплуатационных лесах: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деревья хвойных пород 4-й категории состояния;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деревья 3 - 4-й категорий состояния (сильно ослабленные и усыхающие) назначаются в рубку при повреждении корневой губкой (в сосняках) и деревья различных видов вяза - при повреждении голландской болезнью;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деревья осины 4-й категорий состояния - при повреждении осиновым трутовиком;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в лесных насаждениях, пройденных лесным пожаром текущего года, в течение одного года после его ликвидации: деревья с наличием обугленности древесины корневой шейки не менее 3/4 окружности ствола (при этом обязательно наличие пробной площади с раскопкой корневой шейки не менее чем у 100 деревьев) или высушивания луба не менее 3/4 окружности ствола (наличие пробной площади также обязательно), деревья мягколиственных пород с обугленностью древесины не менее 1/2 окружности ствола и 1/3 высоты.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В эксплуатационных лесах деревья 3 - 4-й категорий состояния при наличии на стволах явных признаков гнилей (дупла, плодовые тела трутовиков, раковые раны, охватывающие более 2/3 окружности ствола); деревья ели и пихты, имеющие повреждения коры лосем и другими животными более 2/3 окружности ствола.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lastRenderedPageBreak/>
        <w:t xml:space="preserve">43. На непокрытых лесом землях лесного фонда при наличии согласно </w:t>
      </w:r>
      <w:hyperlink w:anchor="P96" w:history="1">
        <w:r>
          <w:rPr>
            <w:color w:val="0000FF"/>
          </w:rPr>
          <w:t>пункту 30</w:t>
        </w:r>
      </w:hyperlink>
      <w:r>
        <w:t xml:space="preserve"> и </w:t>
      </w:r>
      <w:hyperlink w:anchor="P97" w:history="1">
        <w:r>
          <w:rPr>
            <w:color w:val="0000FF"/>
          </w:rPr>
          <w:t>31</w:t>
        </w:r>
      </w:hyperlink>
      <w:r>
        <w:t xml:space="preserve"> настоящих Правил деревьев, подлежащих рубке, проводятся санитарные рубки и (или) уборка неликвидной древесины.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44. Отбор деревьев в выборочную и сплошную санитарную рубку при повреждении хвое- и листогрызущими насекомыми производится после завершения периода восстановления хвои (листвы).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45. На лесосеках выборочных санитарных рубок трассы магистральных и пасечных волоков должны размещаться с учетом максимально возможного сохранения деревьев, не назначенных в рубку. Прокладка волоков должна осуществляться по намеченным визирам с обязательным использованием предельных допустимых промежутков между оставляемыми деревьями (и подростом) при плавном отклонении от прямой. На пасеках участков выборочных санитарных рубок не допускается рубка здоровых деревьев и оставление деревьев, назначенных в рубку.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46. При выборочной санитарной рубке жизнеспособные деревья с дуплами в количестве 5 - 10 шт./га оставляются в целях обеспечения естественными укрытиями представителей животного мира.</w:t>
      </w:r>
    </w:p>
    <w:p w:rsidR="006A159D" w:rsidRDefault="006A15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5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59D" w:rsidRDefault="006A15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59D" w:rsidRDefault="006A15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59D" w:rsidRDefault="006A15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159D" w:rsidRDefault="006A159D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01.01.2022 ст. 29 изложена в новой редакции. Положения </w:t>
            </w:r>
            <w:hyperlink r:id="rId21" w:history="1">
              <w:r>
                <w:rPr>
                  <w:color w:val="0000FF"/>
                </w:rPr>
                <w:t>ч. 6 ст. 29</w:t>
              </w:r>
            </w:hyperlink>
            <w:r>
              <w:rPr>
                <w:color w:val="392C69"/>
              </w:rPr>
              <w:t xml:space="preserve"> прежней редакции см. в </w:t>
            </w:r>
            <w:hyperlink r:id="rId22" w:history="1">
              <w:r>
                <w:rPr>
                  <w:color w:val="0000FF"/>
                </w:rPr>
                <w:t>ч. 7 ст. 29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59D" w:rsidRDefault="006A159D">
            <w:pPr>
              <w:spacing w:after="1" w:line="0" w:lineRule="atLeast"/>
            </w:pPr>
          </w:p>
        </w:tc>
      </w:tr>
    </w:tbl>
    <w:p w:rsidR="006A159D" w:rsidRDefault="006A159D">
      <w:pPr>
        <w:pStyle w:val="ConsPlusNormal"/>
        <w:spacing w:before="280"/>
        <w:ind w:firstLine="540"/>
        <w:jc w:val="both"/>
      </w:pPr>
      <w:r>
        <w:t xml:space="preserve">47. Для лесных растений, относящихся к видам, занесенным в Красную книгу Российской Федерации или в красные книги субъектов Российской Федерации, а также включенных в перечень видов (пород) деревьев и кустарников, заготовка древесины которых не допускается, утверждаемый уполномоченным федеральным органом исполнительной власти в соответствии с </w:t>
      </w:r>
      <w:hyperlink r:id="rId23" w:history="1">
        <w:r>
          <w:rPr>
            <w:color w:val="0000FF"/>
          </w:rPr>
          <w:t>частью 6 статьи 29</w:t>
        </w:r>
      </w:hyperlink>
      <w:r>
        <w:t xml:space="preserve"> Лесного кодекса, разрешается рубка только погибших экземпляров в соответствии с законодательством Российской Федерации.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48. Выборочная санитарная рубка не должна приводить к нарушению жизнеспособности насаждений, значительному снижению их целостности, продуктивности или целевых свойств лесов.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49. После проведения выборочных санитарных рубок полнота лесных насаждений не должна быть ниже установленных в соответствии с </w:t>
      </w:r>
      <w:hyperlink w:anchor="P167" w:history="1">
        <w:r>
          <w:rPr>
            <w:color w:val="0000FF"/>
          </w:rPr>
          <w:t>приложением 1</w:t>
        </w:r>
      </w:hyperlink>
      <w:r>
        <w:t xml:space="preserve"> к настоящим Правилам минимальных допустимых значений полноты, до которых назначаются выборочные санитарные рубки.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50. В лесных насаждениях, для которых в естественных условиях характерно низкополнотное произрастание древостоев, снижение полноты после выборочных санитарных рубок не лимитируется. К таким лесным насаждениям относятся: можжевеловые, арчовые, саксауловые, высокогорные кедрачи.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51. В спелых и перестойных насаждениях в эксплуатационных лесах, за исключением особо защитных участков лесов, выборочные санитарные рубки не проводятся. При наличии в них повышенного текущего отпада они планируются в рубку для заготовки древесины в первую очередь.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52. В лесных насаждениях с участием ели, пихты в составе 70% и более проведение выборочных рубок запрещается, за исключением случаев, когда полнота в данной категории защитности не лимитируется (</w:t>
      </w:r>
      <w:hyperlink w:anchor="P167" w:history="1">
        <w:r>
          <w:rPr>
            <w:color w:val="0000FF"/>
          </w:rPr>
          <w:t>приложение 1</w:t>
        </w:r>
      </w:hyperlink>
      <w:r>
        <w:t xml:space="preserve"> к настоящим Правилам).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53. Санитарная рубка считается сплошной, если вырубается весь древостой на выделе или </w:t>
      </w:r>
      <w:r>
        <w:lastRenderedPageBreak/>
        <w:t>лесопатологическом выделе. При неоднородности санитарного и лесопатологического состояния насаждения на лесотаксационном выделе куртины насаждений без признаков ослабления не подлежат рубке и не включаются в эксплуатационную площадь лесосек.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54. Сплошная санитарная рубка проводится в лесных насаждениях, в которых после уборки деревьев, подлежащих рубке, полнота становится ниже предельных величин, при которых обеспечивается способность древостоев выполнять целевые функции (</w:t>
      </w:r>
      <w:hyperlink w:anchor="P167" w:history="1">
        <w:r>
          <w:rPr>
            <w:color w:val="0000FF"/>
          </w:rPr>
          <w:t>приложение 1</w:t>
        </w:r>
      </w:hyperlink>
      <w:r>
        <w:t xml:space="preserve"> к настоящим Правилам). Расчет фактической полноты древостоя обеспечивается при проведении ЛПО.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55. Сплошные санитарные рубки в защитных лесах осуществляются в случаях, если насаждения полностью утрачивают свои целевые функции и если выборочные рубки не обеспечивают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56. Порубочные остатки после выборочных и сплошных санитарных рубок подлежат сжиганию, измельчению, обработке пестицидами или вывозу в места, предназначенные для переработки древесины.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57. Уборка неликвидной древесины проводится в местах образования ветровала, бурелома, снеголома, верховых пожаров и других повреждений при наличии неликвидной и дровяной древесины более 90% от общего запаса погибших и поврежденных деревьев, а также в случаях, когда заготовка древесины погибших или поврежденных насаждений запрещена.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В первую очередь уборка неликвидной древесины производится в лесах, выполняющих функции защиты природных и иных объектов, а также в ценных лесах. На землях другого целевого назначения и иных категорий защитных лесов уборка неликвидной древесины производится в случае, если создается угроза пожарной опасности в лесах и возникновения очагов вредных организмов.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58. По результатам осуществления СОМ вносятся изменения в лесной план субъекта Российской Федерации, лесохозяйственный регламент лесничества.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59. При всех видах рубок высота пней не должна превышать 1/3 диаметра среза, а при рубке деревьев тоньше 30 см - не выше 10 см, считая высоту от шейки корня. Высота пней каштана съедобного должна быть на уровне почвы независимо от диаметра дерева.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Title"/>
        <w:jc w:val="center"/>
        <w:outlineLvl w:val="1"/>
      </w:pPr>
      <w:r>
        <w:t>IV. Другие мероприятия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ind w:firstLine="540"/>
        <w:jc w:val="both"/>
      </w:pPr>
      <w:r>
        <w:t xml:space="preserve">60. Авиационные работы по защите лесов осуществляются в соответствии с порядком организации и выполнения авиационных работ по защите лесов, устанавливаемым уполномоченным федеральным органом исполнительной власти в соответствии с </w:t>
      </w:r>
      <w:hyperlink r:id="rId24" w:history="1">
        <w:r>
          <w:rPr>
            <w:color w:val="0000FF"/>
          </w:rPr>
          <w:t>частью 2 статьи 60.10</w:t>
        </w:r>
      </w:hyperlink>
      <w:r>
        <w:t xml:space="preserve"> Лесного кодекса.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61. Ограничение пребывания граждан в лесах и въезд в них транспортных средств, проведение в лесах определенных видов работ в целях обеспечения санитарной безопасности в лесах осуществляется в порядке, устанавливаемом уполномоченным федеральным органом исполнительной власти в соответствии со </w:t>
      </w:r>
      <w:hyperlink r:id="rId25" w:history="1">
        <w:r>
          <w:rPr>
            <w:color w:val="0000FF"/>
          </w:rPr>
          <w:t>статьей 60.9</w:t>
        </w:r>
      </w:hyperlink>
      <w:r>
        <w:t xml:space="preserve"> Лесного кодекса.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62. Рубка аварийных деревьев, агитационные мероприятия осуществляются в соответствии с настоящими Правилами.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Рубка аварийных деревьев проводится в целях недопущения вреда жизни и здоровью граждан или ущерба государственному имуществу и имуществу граждан и юридических лиц и осуществляется уполномоченными органами, а на лесных участках, предоставленных в </w:t>
      </w:r>
      <w:r>
        <w:lastRenderedPageBreak/>
        <w:t>пользование для осуществления рекреационной деятельности, лицами, использующими лесные участки. Рубка аварийных деревьев проводится в защитных лесах и эксплуатационных лесах, расположенных на расстоянии не более 100 метров от границ населенных пунктов и на лесных участках, предоставленных в пользование для осуществления рекреационной деятельности.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Установление причин повреждения или гибели лесных насаждений, структурных изъянов аварийных деревьев, способных привести к падению всего дерева или его части и причинению ущерба населению или государственному имуществу и имуществу граждан и юридических лиц, осуществляется при натурном осмотре деревьев, по результатам которого составляется акт обследования аварийных деревьев с перечнем деревьев, назначенных в рубку, определением координат каждого дерева и приложением материалов фотофиксации.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Фотофиксация аварийных деревьев должна содержать привязку к местности (координаты) и представляет собой фотоснимок или их серию, фиксирующих структурные изъяны каждого дерева, и должна проводиться в светлое время суток при отсутствии факторов, ограничивающих видимость (туман, дождь, снег, задымление).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Результаты обследования аварийных деревьев утверждаются уполномоченными органами, и в срок не позднее трех рабочих дней со дня утверждения размещаются на официальном сайте органа государственной власти или органа местного самоуправления в информационно-телекоммуникационной сети "Интернет".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 xml:space="preserve">Рекомендуемый образец акта обследования аварийных деревьев приведен в </w:t>
      </w:r>
      <w:hyperlink w:anchor="P368" w:history="1">
        <w:r>
          <w:rPr>
            <w:color w:val="0000FF"/>
          </w:rPr>
          <w:t>приложении 2</w:t>
        </w:r>
      </w:hyperlink>
      <w:r>
        <w:t xml:space="preserve"> к настоящим Правилам.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63. К агитационным мероприятиям относятся: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а) беседы с населением;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б) проведение открытых уроков в образовательных учреждениях;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в) развешивание аншлагов и плакатов;</w:t>
      </w:r>
    </w:p>
    <w:p w:rsidR="006A159D" w:rsidRDefault="006A159D">
      <w:pPr>
        <w:pStyle w:val="ConsPlusNormal"/>
        <w:spacing w:before="220"/>
        <w:ind w:firstLine="540"/>
        <w:jc w:val="both"/>
      </w:pPr>
      <w:r>
        <w:t>г) размещение информационных материалов в средствах массовой информации.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right"/>
        <w:outlineLvl w:val="1"/>
      </w:pPr>
      <w:r>
        <w:t>Приложение 1</w:t>
      </w:r>
    </w:p>
    <w:p w:rsidR="006A159D" w:rsidRDefault="006A159D">
      <w:pPr>
        <w:pStyle w:val="ConsPlusNormal"/>
        <w:jc w:val="right"/>
      </w:pPr>
      <w:r>
        <w:t>к Правилам осуществления</w:t>
      </w:r>
    </w:p>
    <w:p w:rsidR="006A159D" w:rsidRDefault="006A159D">
      <w:pPr>
        <w:pStyle w:val="ConsPlusNormal"/>
        <w:jc w:val="right"/>
      </w:pPr>
      <w:r>
        <w:t>мероприятий по предупреждению</w:t>
      </w:r>
    </w:p>
    <w:p w:rsidR="006A159D" w:rsidRDefault="006A159D">
      <w:pPr>
        <w:pStyle w:val="ConsPlusNormal"/>
        <w:jc w:val="right"/>
      </w:pPr>
      <w:r>
        <w:t>распространения вредных организмов,</w:t>
      </w:r>
    </w:p>
    <w:p w:rsidR="006A159D" w:rsidRDefault="006A159D">
      <w:pPr>
        <w:pStyle w:val="ConsPlusNormal"/>
        <w:jc w:val="right"/>
      </w:pPr>
      <w:r>
        <w:t>утвержденным приказом</w:t>
      </w:r>
    </w:p>
    <w:p w:rsidR="006A159D" w:rsidRDefault="006A159D">
      <w:pPr>
        <w:pStyle w:val="ConsPlusNormal"/>
        <w:jc w:val="right"/>
      </w:pPr>
      <w:r>
        <w:t>Минприроды России</w:t>
      </w:r>
    </w:p>
    <w:p w:rsidR="006A159D" w:rsidRDefault="006A159D">
      <w:pPr>
        <w:pStyle w:val="ConsPlusNormal"/>
        <w:jc w:val="right"/>
      </w:pPr>
      <w:r>
        <w:t>от 09.11.2020 N 912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Title"/>
        <w:jc w:val="center"/>
      </w:pPr>
      <w:bookmarkStart w:id="3" w:name="P167"/>
      <w:bookmarkEnd w:id="3"/>
      <w:r>
        <w:t>МИНИМАЛЬНЫЕ ДОПУСТИМЫЕ ЗНАЧЕНИЯ</w:t>
      </w:r>
    </w:p>
    <w:p w:rsidR="006A159D" w:rsidRDefault="006A159D">
      <w:pPr>
        <w:pStyle w:val="ConsPlusTitle"/>
        <w:jc w:val="center"/>
      </w:pPr>
      <w:r>
        <w:t>ПОЛНОТЫ, ДО КОТОРЫХ НАЗНАЧАЮТСЯ ВЫБОРОЧНЫЕ САНИТАРНЫЕ РУБКИ</w:t>
      </w:r>
    </w:p>
    <w:p w:rsidR="006A159D" w:rsidRDefault="006A1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782"/>
        <w:gridCol w:w="680"/>
        <w:gridCol w:w="850"/>
        <w:gridCol w:w="955"/>
        <w:gridCol w:w="680"/>
        <w:gridCol w:w="955"/>
        <w:gridCol w:w="1417"/>
      </w:tblGrid>
      <w:tr w:rsidR="006A159D">
        <w:tc>
          <w:tcPr>
            <w:tcW w:w="2721" w:type="dxa"/>
            <w:vMerge w:val="restart"/>
          </w:tcPr>
          <w:p w:rsidR="006A159D" w:rsidRDefault="006A159D">
            <w:pPr>
              <w:pStyle w:val="ConsPlusNormal"/>
              <w:jc w:val="center"/>
            </w:pPr>
            <w:r>
              <w:t>Вид использования или категория защитных лесов</w:t>
            </w:r>
          </w:p>
        </w:tc>
        <w:tc>
          <w:tcPr>
            <w:tcW w:w="6319" w:type="dxa"/>
            <w:gridSpan w:val="7"/>
          </w:tcPr>
          <w:p w:rsidR="006A159D" w:rsidRDefault="006A159D">
            <w:pPr>
              <w:pStyle w:val="ConsPlusNormal"/>
              <w:jc w:val="center"/>
            </w:pPr>
            <w:r>
              <w:t>Преобладающая порода</w:t>
            </w:r>
          </w:p>
        </w:tc>
      </w:tr>
      <w:tr w:rsidR="006A159D">
        <w:tc>
          <w:tcPr>
            <w:tcW w:w="2721" w:type="dxa"/>
            <w:vMerge/>
          </w:tcPr>
          <w:p w:rsidR="006A159D" w:rsidRDefault="006A159D">
            <w:pPr>
              <w:spacing w:after="1" w:line="0" w:lineRule="atLeast"/>
            </w:pP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Каштан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Береза и прочие лиственные</w:t>
            </w:r>
          </w:p>
        </w:tc>
      </w:tr>
      <w:tr w:rsidR="006A159D">
        <w:tc>
          <w:tcPr>
            <w:tcW w:w="9040" w:type="dxa"/>
            <w:gridSpan w:val="8"/>
          </w:tcPr>
          <w:p w:rsidR="006A159D" w:rsidRDefault="006A159D">
            <w:pPr>
              <w:pStyle w:val="ConsPlusNormal"/>
              <w:jc w:val="center"/>
              <w:outlineLvl w:val="2"/>
            </w:pPr>
            <w:r>
              <w:lastRenderedPageBreak/>
              <w:t>Резервные леса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9040" w:type="dxa"/>
            <w:gridSpan w:val="8"/>
          </w:tcPr>
          <w:p w:rsidR="006A159D" w:rsidRDefault="006A159D">
            <w:pPr>
              <w:pStyle w:val="ConsPlusNormal"/>
              <w:jc w:val="center"/>
              <w:outlineLvl w:val="2"/>
            </w:pPr>
            <w:r>
              <w:t>Эксплуатационные леса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Заготовка древесины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Заготовка живицы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Заготовка и сбор недревесных ресурсов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Заготовка пищевых лесных ресурсов и сбор лекарственных растений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Научно-исследовательская и образовательная деятельность</w:t>
            </w:r>
          </w:p>
        </w:tc>
        <w:tc>
          <w:tcPr>
            <w:tcW w:w="6319" w:type="dxa"/>
            <w:gridSpan w:val="7"/>
          </w:tcPr>
          <w:p w:rsidR="006A159D" w:rsidRDefault="006A159D">
            <w:pPr>
              <w:pStyle w:val="ConsPlusNormal"/>
              <w:jc w:val="center"/>
            </w:pPr>
            <w:r>
              <w:t>Не лимитируется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Осуществление рекреационной деятельности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Эксплуатация лесных плантаций</w:t>
            </w:r>
          </w:p>
        </w:tc>
        <w:tc>
          <w:tcPr>
            <w:tcW w:w="6319" w:type="dxa"/>
            <w:gridSpan w:val="7"/>
          </w:tcPr>
          <w:p w:rsidR="006A159D" w:rsidRDefault="006A159D">
            <w:pPr>
              <w:pStyle w:val="ConsPlusNormal"/>
              <w:jc w:val="center"/>
            </w:pPr>
            <w:r>
              <w:t>Не лимитируется</w:t>
            </w:r>
          </w:p>
        </w:tc>
      </w:tr>
    </w:tbl>
    <w:p w:rsidR="006A159D" w:rsidRDefault="006A1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782"/>
        <w:gridCol w:w="680"/>
        <w:gridCol w:w="850"/>
        <w:gridCol w:w="955"/>
        <w:gridCol w:w="680"/>
        <w:gridCol w:w="955"/>
        <w:gridCol w:w="1417"/>
      </w:tblGrid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Прочие виды использования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9040" w:type="dxa"/>
            <w:gridSpan w:val="8"/>
          </w:tcPr>
          <w:p w:rsidR="006A159D" w:rsidRDefault="006A159D">
            <w:pPr>
              <w:pStyle w:val="ConsPlusNormal"/>
              <w:jc w:val="center"/>
              <w:outlineLvl w:val="2"/>
            </w:pPr>
            <w:r>
              <w:t>Защитные леса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1. Леса, расположенные в водоохранных зонах</w:t>
            </w:r>
          </w:p>
        </w:tc>
        <w:tc>
          <w:tcPr>
            <w:tcW w:w="6319" w:type="dxa"/>
            <w:gridSpan w:val="7"/>
          </w:tcPr>
          <w:p w:rsidR="006A159D" w:rsidRDefault="006A159D">
            <w:pPr>
              <w:pStyle w:val="ConsPlusNormal"/>
              <w:jc w:val="center"/>
            </w:pPr>
            <w:r>
              <w:t>Не лимитируется для дуба, каштана и кедра, для остальных пород 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2. Леса, выполняющие функции защиты природных и иных объектов:</w:t>
            </w:r>
          </w:p>
          <w:p w:rsidR="006A159D" w:rsidRDefault="006A159D">
            <w:pPr>
              <w:pStyle w:val="ConsPlusNormal"/>
              <w:jc w:val="both"/>
            </w:pPr>
            <w:r>
              <w:t xml:space="preserve">а) леса, расположенные в первом и втором поясах зон санитарной охраны источников питьевого и хозяйственно-бытового водоснабжения (леса, расположенные в границах соответствующих поясов зон санитарной охраны источников питьевого и хозяйственно-бытового водоснабжения, установленных в соответствии с требованиями </w:t>
            </w:r>
            <w:r>
              <w:lastRenderedPageBreak/>
              <w:t>законодательства в области обеспечения санитарно-эпидемиологического благополучия населения);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</w:tbl>
    <w:p w:rsidR="006A159D" w:rsidRDefault="006A1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782"/>
        <w:gridCol w:w="680"/>
        <w:gridCol w:w="850"/>
        <w:gridCol w:w="955"/>
        <w:gridCol w:w="680"/>
        <w:gridCol w:w="955"/>
        <w:gridCol w:w="1417"/>
      </w:tblGrid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б) леса, расположенные в защитных полосах лесов (леса, расположенные в границах полос отвода железных дорог и придорожных полос автомобильных дорог, установленных в соответствии с законодательством Российской Федерации о железнодорожном транспорте, законодательством об автомобильных дорогах и о дорожной деятельности);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в) леса, расположенные в зеленых зонах (леса, расположенные на землях лесного фонда и землях иных категорий, выделяемые в целях обеспечения защиты населения от воздействия неблагоприятных явлений природного и техногенного происхождения, сохранения и восстановления окружающей среды);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г) леса, расположенные в лесопарковых зонах (леса, расположенные на землях лесного фонда и землях иных категорий, используемые в целях организации отдыха населения, сохранения санитарно-гигиенической, оздоровительной функций и эстетической ценности природных ландшафтов);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 xml:space="preserve">д) горно-санитарные леса </w:t>
            </w:r>
            <w:r>
              <w:lastRenderedPageBreak/>
              <w:t>(леса, расположенные в границах зон округов санитарной (горно-санитарной) охраны лечебно-оздоровительных местностей и курортов, установленных в соответствии с законодательством Российской Федерации о природных лечебных ресурсах, лечебно-оздоровительных местностях и курортах).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lastRenderedPageBreak/>
              <w:t>3. Ценные леса:</w:t>
            </w:r>
          </w:p>
          <w:p w:rsidR="006A159D" w:rsidRDefault="006A159D">
            <w:pPr>
              <w:pStyle w:val="ConsPlusNormal"/>
              <w:jc w:val="both"/>
            </w:pPr>
            <w:r>
              <w:t>а) государственные защитные лесные полосы (леса линейного типа, искусственно созданные в лесостепных, степных зонах, зонах полупустынь и пустынь, выполняющие климаторегулирующие, почвозащитные, противоэрозионные и водорегулирующие функции);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б) противоэрозионные леса (леса, предназначенные для охраны земель от эрозии)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в) пустынные, полупустынные леса (леса, расположенные в зоне полупустынь и пустынь, выполняющие защитные функции);</w:t>
            </w:r>
          </w:p>
        </w:tc>
        <w:tc>
          <w:tcPr>
            <w:tcW w:w="6319" w:type="dxa"/>
            <w:gridSpan w:val="7"/>
          </w:tcPr>
          <w:p w:rsidR="006A159D" w:rsidRDefault="006A159D">
            <w:pPr>
              <w:pStyle w:val="ConsPlusNormal"/>
              <w:jc w:val="center"/>
            </w:pPr>
            <w:r>
              <w:t>Не лимитируется для пустынных, полупустынных и малолесных горных территорий. В остальных случаях - 0,3 для всех пород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 xml:space="preserve">г) леса, имеющие научное или историко-культурное значение (леса, расположенные на землях историко-культурного назначения и в зонах охраны объектов культурного наследия, леса, являющиеся объектами исследований генетических качеств деревьев, кустарников и лиан (генетические </w:t>
            </w:r>
            <w:r>
              <w:lastRenderedPageBreak/>
              <w:t>резерваты), образцами достижений лесохозяйственной науки и практики, а также уникальные по продуктивности леса);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lastRenderedPageBreak/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lastRenderedPageBreak/>
              <w:t>д) леса, расположенные в орехово-промысловых зонах (леса, являющиеся сырьевой базой для заготовки кедровых орехов);</w:t>
            </w:r>
          </w:p>
        </w:tc>
        <w:tc>
          <w:tcPr>
            <w:tcW w:w="6319" w:type="dxa"/>
            <w:gridSpan w:val="7"/>
          </w:tcPr>
          <w:p w:rsidR="006A159D" w:rsidRDefault="006A159D">
            <w:pPr>
              <w:pStyle w:val="ConsPlusNormal"/>
              <w:jc w:val="center"/>
            </w:pPr>
            <w:r>
              <w:t>Не лимитируется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е) лесные плодовые насаждения (леса, в составе которых произрастают ценные плодово-ягодные и орехоплодные породы деревьев и кустарников)</w:t>
            </w:r>
          </w:p>
        </w:tc>
        <w:tc>
          <w:tcPr>
            <w:tcW w:w="6319" w:type="dxa"/>
            <w:gridSpan w:val="7"/>
          </w:tcPr>
          <w:p w:rsidR="006A159D" w:rsidRDefault="006A159D">
            <w:pPr>
              <w:pStyle w:val="ConsPlusNormal"/>
            </w:pPr>
            <w:r>
              <w:t>Не лимитируется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ж) ленточные боры (леса, исторически сформировавшиеся в жестких почвенно-климатических условиях среди безлесных степных, полупустынных и пустынных пространств, имеющие важное климаторегулирующее, почвозащитное и водоохранное значение);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з) запретные полосы лесов, расположенные вдоль водных объектов (леса, примыкающие непосредственно к руслу реки или берегу другого водного объекта, а при безлесной пойме - к пойме реки, выполняющие водорегулирующие функции);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 xml:space="preserve">и) нерестоохранные полосы лесов (леса, расположенные в границах рыбоохранных зон или рыбохозяйственных заповедных зон, установленных в </w:t>
            </w:r>
            <w:r>
              <w:lastRenderedPageBreak/>
              <w:t>соответствии с законодательством о рыболовстве и сохранении водных биологических ресурсов).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lastRenderedPageBreak/>
              <w:t>4. Городские леса</w:t>
            </w:r>
          </w:p>
        </w:tc>
        <w:tc>
          <w:tcPr>
            <w:tcW w:w="782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6A159D" w:rsidRDefault="006A159D">
            <w:pPr>
              <w:pStyle w:val="ConsPlusNormal"/>
              <w:jc w:val="center"/>
            </w:pPr>
            <w:r>
              <w:t>0,3</w:t>
            </w:r>
          </w:p>
        </w:tc>
      </w:tr>
      <w:tr w:rsidR="006A159D">
        <w:tc>
          <w:tcPr>
            <w:tcW w:w="2721" w:type="dxa"/>
            <w:vAlign w:val="center"/>
          </w:tcPr>
          <w:p w:rsidR="006A159D" w:rsidRDefault="006A159D">
            <w:pPr>
              <w:pStyle w:val="ConsPlusNormal"/>
              <w:jc w:val="both"/>
            </w:pPr>
            <w:r>
              <w:t>5. Особо защитные участки лесов</w:t>
            </w:r>
          </w:p>
        </w:tc>
        <w:tc>
          <w:tcPr>
            <w:tcW w:w="6319" w:type="dxa"/>
            <w:gridSpan w:val="7"/>
          </w:tcPr>
          <w:p w:rsidR="006A159D" w:rsidRDefault="006A159D">
            <w:pPr>
              <w:pStyle w:val="ConsPlusNormal"/>
              <w:jc w:val="center"/>
            </w:pPr>
            <w:r>
              <w:t>Не лимитируется</w:t>
            </w:r>
          </w:p>
        </w:tc>
      </w:tr>
    </w:tbl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right"/>
        <w:outlineLvl w:val="1"/>
      </w:pPr>
      <w:r>
        <w:t>Приложение 2</w:t>
      </w:r>
    </w:p>
    <w:p w:rsidR="006A159D" w:rsidRDefault="006A159D">
      <w:pPr>
        <w:pStyle w:val="ConsPlusNormal"/>
        <w:jc w:val="right"/>
      </w:pPr>
      <w:r>
        <w:t>к Правилам осуществления</w:t>
      </w:r>
    </w:p>
    <w:p w:rsidR="006A159D" w:rsidRDefault="006A159D">
      <w:pPr>
        <w:pStyle w:val="ConsPlusNormal"/>
        <w:jc w:val="right"/>
      </w:pPr>
      <w:r>
        <w:t>мероприятий по предупреждению</w:t>
      </w:r>
    </w:p>
    <w:p w:rsidR="006A159D" w:rsidRDefault="006A159D">
      <w:pPr>
        <w:pStyle w:val="ConsPlusNormal"/>
        <w:jc w:val="right"/>
      </w:pPr>
      <w:r>
        <w:t>распространения вредных организмов,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right"/>
      </w:pPr>
      <w:r>
        <w:t>Утверждены</w:t>
      </w:r>
    </w:p>
    <w:p w:rsidR="006A159D" w:rsidRDefault="006A159D">
      <w:pPr>
        <w:pStyle w:val="ConsPlusNormal"/>
        <w:jc w:val="right"/>
      </w:pPr>
      <w:r>
        <w:t>приказом Минприроды России</w:t>
      </w:r>
    </w:p>
    <w:p w:rsidR="006A159D" w:rsidRDefault="006A159D">
      <w:pPr>
        <w:pStyle w:val="ConsPlusNormal"/>
        <w:jc w:val="right"/>
      </w:pPr>
      <w:r>
        <w:t>от 09.11.2020 N 912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right"/>
      </w:pPr>
      <w:r>
        <w:t>рекомендуемый образец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nformat"/>
        <w:jc w:val="both"/>
      </w:pPr>
      <w:bookmarkStart w:id="4" w:name="P368"/>
      <w:bookmarkEnd w:id="4"/>
      <w:r>
        <w:t xml:space="preserve">                                    Акт</w:t>
      </w:r>
    </w:p>
    <w:p w:rsidR="006A159D" w:rsidRDefault="006A159D">
      <w:pPr>
        <w:pStyle w:val="ConsPlusNonformat"/>
        <w:jc w:val="both"/>
      </w:pPr>
      <w:r>
        <w:t xml:space="preserve">                   обследования аварийных деревьев N ___</w:t>
      </w:r>
    </w:p>
    <w:p w:rsidR="006A159D" w:rsidRDefault="006A159D">
      <w:pPr>
        <w:pStyle w:val="ConsPlusNonformat"/>
        <w:jc w:val="both"/>
      </w:pPr>
      <w:r>
        <w:t xml:space="preserve">               лесных насаждений ______________ лесничества,</w:t>
      </w:r>
    </w:p>
    <w:p w:rsidR="006A159D" w:rsidRDefault="006A159D">
      <w:pPr>
        <w:pStyle w:val="ConsPlusNonformat"/>
        <w:jc w:val="both"/>
      </w:pPr>
      <w:r>
        <w:t xml:space="preserve">             __________________ (субъект Российской Федерации)</w:t>
      </w:r>
    </w:p>
    <w:p w:rsidR="006A159D" w:rsidRDefault="006A159D">
      <w:pPr>
        <w:pStyle w:val="ConsPlusNonformat"/>
        <w:jc w:val="both"/>
      </w:pPr>
    </w:p>
    <w:p w:rsidR="006A159D" w:rsidRDefault="006A159D">
      <w:pPr>
        <w:pStyle w:val="ConsPlusNonformat"/>
        <w:jc w:val="both"/>
      </w:pPr>
      <w:r>
        <w:t>Место проведения</w:t>
      </w:r>
    </w:p>
    <w:p w:rsidR="006A159D" w:rsidRDefault="006A1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928"/>
        <w:gridCol w:w="2154"/>
        <w:gridCol w:w="1814"/>
      </w:tblGrid>
      <w:tr w:rsidR="006A159D">
        <w:tc>
          <w:tcPr>
            <w:tcW w:w="3175" w:type="dxa"/>
          </w:tcPr>
          <w:p w:rsidR="006A159D" w:rsidRDefault="006A159D">
            <w:pPr>
              <w:pStyle w:val="ConsPlusNormal"/>
              <w:jc w:val="center"/>
            </w:pPr>
            <w:r>
              <w:t>Участковое лесничество</w:t>
            </w:r>
          </w:p>
        </w:tc>
        <w:tc>
          <w:tcPr>
            <w:tcW w:w="1928" w:type="dxa"/>
          </w:tcPr>
          <w:p w:rsidR="006A159D" w:rsidRDefault="006A159D">
            <w:pPr>
              <w:pStyle w:val="ConsPlusNormal"/>
              <w:jc w:val="center"/>
            </w:pPr>
            <w:r>
              <w:t>Урочище (дача)</w:t>
            </w:r>
          </w:p>
        </w:tc>
        <w:tc>
          <w:tcPr>
            <w:tcW w:w="2154" w:type="dxa"/>
          </w:tcPr>
          <w:p w:rsidR="006A159D" w:rsidRDefault="006A159D">
            <w:pPr>
              <w:pStyle w:val="ConsPlusNormal"/>
              <w:jc w:val="center"/>
            </w:pPr>
            <w:r>
              <w:t>Квартал (кварталы)</w:t>
            </w:r>
          </w:p>
        </w:tc>
        <w:tc>
          <w:tcPr>
            <w:tcW w:w="1814" w:type="dxa"/>
          </w:tcPr>
          <w:p w:rsidR="006A159D" w:rsidRDefault="006A159D">
            <w:pPr>
              <w:pStyle w:val="ConsPlusNormal"/>
              <w:jc w:val="center"/>
            </w:pPr>
            <w:r>
              <w:t>Выдел (выделы)</w:t>
            </w:r>
          </w:p>
        </w:tc>
      </w:tr>
      <w:tr w:rsidR="006A159D">
        <w:tc>
          <w:tcPr>
            <w:tcW w:w="3175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928" w:type="dxa"/>
          </w:tcPr>
          <w:p w:rsidR="006A159D" w:rsidRDefault="006A159D">
            <w:pPr>
              <w:pStyle w:val="ConsPlusNormal"/>
            </w:pPr>
          </w:p>
        </w:tc>
        <w:tc>
          <w:tcPr>
            <w:tcW w:w="2154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814" w:type="dxa"/>
          </w:tcPr>
          <w:p w:rsidR="006A159D" w:rsidRDefault="006A159D">
            <w:pPr>
              <w:pStyle w:val="ConsPlusNormal"/>
            </w:pPr>
          </w:p>
        </w:tc>
      </w:tr>
      <w:tr w:rsidR="006A159D">
        <w:tc>
          <w:tcPr>
            <w:tcW w:w="3175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928" w:type="dxa"/>
          </w:tcPr>
          <w:p w:rsidR="006A159D" w:rsidRDefault="006A159D">
            <w:pPr>
              <w:pStyle w:val="ConsPlusNormal"/>
            </w:pPr>
          </w:p>
        </w:tc>
        <w:tc>
          <w:tcPr>
            <w:tcW w:w="2154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814" w:type="dxa"/>
          </w:tcPr>
          <w:p w:rsidR="006A159D" w:rsidRDefault="006A159D">
            <w:pPr>
              <w:pStyle w:val="ConsPlusNormal"/>
            </w:pPr>
          </w:p>
        </w:tc>
      </w:tr>
      <w:tr w:rsidR="006A159D">
        <w:tc>
          <w:tcPr>
            <w:tcW w:w="3175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928" w:type="dxa"/>
          </w:tcPr>
          <w:p w:rsidR="006A159D" w:rsidRDefault="006A159D">
            <w:pPr>
              <w:pStyle w:val="ConsPlusNormal"/>
            </w:pPr>
          </w:p>
        </w:tc>
        <w:tc>
          <w:tcPr>
            <w:tcW w:w="2154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814" w:type="dxa"/>
          </w:tcPr>
          <w:p w:rsidR="006A159D" w:rsidRDefault="006A159D">
            <w:pPr>
              <w:pStyle w:val="ConsPlusNormal"/>
            </w:pPr>
          </w:p>
        </w:tc>
      </w:tr>
      <w:tr w:rsidR="006A159D">
        <w:tc>
          <w:tcPr>
            <w:tcW w:w="3175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928" w:type="dxa"/>
          </w:tcPr>
          <w:p w:rsidR="006A159D" w:rsidRDefault="006A159D">
            <w:pPr>
              <w:pStyle w:val="ConsPlusNormal"/>
            </w:pPr>
          </w:p>
        </w:tc>
        <w:tc>
          <w:tcPr>
            <w:tcW w:w="2154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814" w:type="dxa"/>
          </w:tcPr>
          <w:p w:rsidR="006A159D" w:rsidRDefault="006A159D">
            <w:pPr>
              <w:pStyle w:val="ConsPlusNormal"/>
            </w:pPr>
          </w:p>
        </w:tc>
      </w:tr>
    </w:tbl>
    <w:p w:rsidR="006A159D" w:rsidRDefault="006A159D">
      <w:pPr>
        <w:pStyle w:val="ConsPlusNormal"/>
        <w:jc w:val="both"/>
      </w:pPr>
    </w:p>
    <w:p w:rsidR="006A159D" w:rsidRDefault="006A159D">
      <w:pPr>
        <w:pStyle w:val="ConsPlusNonformat"/>
        <w:jc w:val="both"/>
      </w:pPr>
      <w:r>
        <w:t xml:space="preserve">                           Перечетная ведомость</w:t>
      </w:r>
    </w:p>
    <w:p w:rsidR="006A159D" w:rsidRDefault="006A159D">
      <w:pPr>
        <w:pStyle w:val="ConsPlusNonformat"/>
        <w:jc w:val="both"/>
      </w:pPr>
      <w:r>
        <w:t xml:space="preserve">                  аварийных деревьев, назначаемых в рубку</w:t>
      </w:r>
    </w:p>
    <w:p w:rsidR="006A159D" w:rsidRDefault="006A1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474"/>
        <w:gridCol w:w="912"/>
        <w:gridCol w:w="984"/>
        <w:gridCol w:w="1123"/>
        <w:gridCol w:w="749"/>
        <w:gridCol w:w="1644"/>
        <w:gridCol w:w="1361"/>
      </w:tblGrid>
      <w:tr w:rsidR="006A159D">
        <w:tc>
          <w:tcPr>
            <w:tcW w:w="821" w:type="dxa"/>
          </w:tcPr>
          <w:p w:rsidR="006A159D" w:rsidRDefault="006A159D">
            <w:pPr>
              <w:pStyle w:val="ConsPlusNormal"/>
              <w:jc w:val="center"/>
            </w:pPr>
            <w:r>
              <w:t>N дерева</w:t>
            </w:r>
          </w:p>
        </w:tc>
        <w:tc>
          <w:tcPr>
            <w:tcW w:w="1474" w:type="dxa"/>
          </w:tcPr>
          <w:p w:rsidR="006A159D" w:rsidRDefault="006A159D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912" w:type="dxa"/>
          </w:tcPr>
          <w:p w:rsidR="006A159D" w:rsidRDefault="006A159D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984" w:type="dxa"/>
          </w:tcPr>
          <w:p w:rsidR="006A159D" w:rsidRDefault="006A159D">
            <w:pPr>
              <w:pStyle w:val="ConsPlusNormal"/>
              <w:jc w:val="center"/>
            </w:pPr>
            <w:r>
              <w:t>Высота, м</w:t>
            </w:r>
          </w:p>
        </w:tc>
        <w:tc>
          <w:tcPr>
            <w:tcW w:w="1123" w:type="dxa"/>
          </w:tcPr>
          <w:p w:rsidR="006A159D" w:rsidRDefault="006A159D">
            <w:pPr>
              <w:pStyle w:val="ConsPlusNormal"/>
              <w:jc w:val="center"/>
            </w:pPr>
            <w:r>
              <w:t>Диаметр, см</w:t>
            </w:r>
          </w:p>
        </w:tc>
        <w:tc>
          <w:tcPr>
            <w:tcW w:w="749" w:type="dxa"/>
          </w:tcPr>
          <w:p w:rsidR="006A159D" w:rsidRDefault="006A159D">
            <w:pPr>
              <w:pStyle w:val="ConsPlusNormal"/>
              <w:jc w:val="center"/>
            </w:pPr>
            <w:r>
              <w:t>Запас, куб. м</w:t>
            </w:r>
          </w:p>
        </w:tc>
        <w:tc>
          <w:tcPr>
            <w:tcW w:w="1644" w:type="dxa"/>
          </w:tcPr>
          <w:p w:rsidR="006A159D" w:rsidRDefault="006A159D">
            <w:pPr>
              <w:pStyle w:val="ConsPlusNormal"/>
              <w:jc w:val="center"/>
            </w:pPr>
            <w:r>
              <w:t>Структурные изъяны, характеризующие аварийность дерева</w:t>
            </w:r>
          </w:p>
        </w:tc>
        <w:tc>
          <w:tcPr>
            <w:tcW w:w="1361" w:type="dxa"/>
          </w:tcPr>
          <w:p w:rsidR="006A159D" w:rsidRDefault="006A159D">
            <w:pPr>
              <w:pStyle w:val="ConsPlusNormal"/>
              <w:jc w:val="center"/>
            </w:pPr>
            <w:r>
              <w:t>Сроки проведения мероприятия</w:t>
            </w:r>
          </w:p>
        </w:tc>
      </w:tr>
      <w:tr w:rsidR="006A159D">
        <w:tc>
          <w:tcPr>
            <w:tcW w:w="821" w:type="dxa"/>
          </w:tcPr>
          <w:p w:rsidR="006A159D" w:rsidRDefault="006A1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6A159D" w:rsidRDefault="006A1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6A159D" w:rsidRDefault="006A1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6A159D" w:rsidRDefault="006A1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6A159D" w:rsidRDefault="006A1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9" w:type="dxa"/>
          </w:tcPr>
          <w:p w:rsidR="006A159D" w:rsidRDefault="006A15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A159D" w:rsidRDefault="006A1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6A159D" w:rsidRDefault="006A159D">
            <w:pPr>
              <w:pStyle w:val="ConsPlusNormal"/>
              <w:jc w:val="center"/>
            </w:pPr>
            <w:r>
              <w:t>8</w:t>
            </w:r>
          </w:p>
        </w:tc>
      </w:tr>
      <w:tr w:rsidR="006A159D">
        <w:tc>
          <w:tcPr>
            <w:tcW w:w="821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474" w:type="dxa"/>
          </w:tcPr>
          <w:p w:rsidR="006A159D" w:rsidRDefault="006A159D">
            <w:pPr>
              <w:pStyle w:val="ConsPlusNormal"/>
            </w:pPr>
          </w:p>
        </w:tc>
        <w:tc>
          <w:tcPr>
            <w:tcW w:w="912" w:type="dxa"/>
          </w:tcPr>
          <w:p w:rsidR="006A159D" w:rsidRDefault="006A159D">
            <w:pPr>
              <w:pStyle w:val="ConsPlusNormal"/>
            </w:pPr>
          </w:p>
        </w:tc>
        <w:tc>
          <w:tcPr>
            <w:tcW w:w="984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123" w:type="dxa"/>
          </w:tcPr>
          <w:p w:rsidR="006A159D" w:rsidRDefault="006A159D">
            <w:pPr>
              <w:pStyle w:val="ConsPlusNormal"/>
            </w:pPr>
          </w:p>
        </w:tc>
        <w:tc>
          <w:tcPr>
            <w:tcW w:w="749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644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361" w:type="dxa"/>
          </w:tcPr>
          <w:p w:rsidR="006A159D" w:rsidRDefault="006A159D">
            <w:pPr>
              <w:pStyle w:val="ConsPlusNormal"/>
            </w:pPr>
          </w:p>
        </w:tc>
      </w:tr>
      <w:tr w:rsidR="006A159D">
        <w:tc>
          <w:tcPr>
            <w:tcW w:w="821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474" w:type="dxa"/>
          </w:tcPr>
          <w:p w:rsidR="006A159D" w:rsidRDefault="006A159D">
            <w:pPr>
              <w:pStyle w:val="ConsPlusNormal"/>
            </w:pPr>
          </w:p>
        </w:tc>
        <w:tc>
          <w:tcPr>
            <w:tcW w:w="912" w:type="dxa"/>
          </w:tcPr>
          <w:p w:rsidR="006A159D" w:rsidRDefault="006A159D">
            <w:pPr>
              <w:pStyle w:val="ConsPlusNormal"/>
            </w:pPr>
          </w:p>
        </w:tc>
        <w:tc>
          <w:tcPr>
            <w:tcW w:w="984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123" w:type="dxa"/>
          </w:tcPr>
          <w:p w:rsidR="006A159D" w:rsidRDefault="006A159D">
            <w:pPr>
              <w:pStyle w:val="ConsPlusNormal"/>
            </w:pPr>
          </w:p>
        </w:tc>
        <w:tc>
          <w:tcPr>
            <w:tcW w:w="749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644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361" w:type="dxa"/>
          </w:tcPr>
          <w:p w:rsidR="006A159D" w:rsidRDefault="006A159D">
            <w:pPr>
              <w:pStyle w:val="ConsPlusNormal"/>
            </w:pPr>
          </w:p>
        </w:tc>
      </w:tr>
      <w:tr w:rsidR="006A159D">
        <w:tc>
          <w:tcPr>
            <w:tcW w:w="821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474" w:type="dxa"/>
          </w:tcPr>
          <w:p w:rsidR="006A159D" w:rsidRDefault="006A159D">
            <w:pPr>
              <w:pStyle w:val="ConsPlusNormal"/>
            </w:pPr>
          </w:p>
        </w:tc>
        <w:tc>
          <w:tcPr>
            <w:tcW w:w="912" w:type="dxa"/>
          </w:tcPr>
          <w:p w:rsidR="006A159D" w:rsidRDefault="006A159D">
            <w:pPr>
              <w:pStyle w:val="ConsPlusNormal"/>
            </w:pPr>
          </w:p>
        </w:tc>
        <w:tc>
          <w:tcPr>
            <w:tcW w:w="984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123" w:type="dxa"/>
          </w:tcPr>
          <w:p w:rsidR="006A159D" w:rsidRDefault="006A159D">
            <w:pPr>
              <w:pStyle w:val="ConsPlusNormal"/>
            </w:pPr>
          </w:p>
        </w:tc>
        <w:tc>
          <w:tcPr>
            <w:tcW w:w="749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644" w:type="dxa"/>
          </w:tcPr>
          <w:p w:rsidR="006A159D" w:rsidRDefault="006A159D">
            <w:pPr>
              <w:pStyle w:val="ConsPlusNormal"/>
            </w:pPr>
          </w:p>
        </w:tc>
        <w:tc>
          <w:tcPr>
            <w:tcW w:w="1361" w:type="dxa"/>
          </w:tcPr>
          <w:p w:rsidR="006A159D" w:rsidRDefault="006A159D">
            <w:pPr>
              <w:pStyle w:val="ConsPlusNormal"/>
            </w:pPr>
          </w:p>
        </w:tc>
      </w:tr>
    </w:tbl>
    <w:p w:rsidR="006A159D" w:rsidRDefault="006A159D">
      <w:pPr>
        <w:pStyle w:val="ConsPlusNormal"/>
        <w:jc w:val="both"/>
      </w:pPr>
    </w:p>
    <w:p w:rsidR="006A159D" w:rsidRDefault="006A159D">
      <w:pPr>
        <w:pStyle w:val="ConsPlusNonformat"/>
        <w:jc w:val="both"/>
      </w:pPr>
      <w:r>
        <w:t xml:space="preserve">    Исполнитель работ по проведению обследования аварийных деревьев:</w:t>
      </w:r>
    </w:p>
    <w:p w:rsidR="006A159D" w:rsidRDefault="006A159D">
      <w:pPr>
        <w:pStyle w:val="ConsPlusNonformat"/>
        <w:jc w:val="both"/>
      </w:pPr>
    </w:p>
    <w:p w:rsidR="006A159D" w:rsidRDefault="006A159D">
      <w:pPr>
        <w:pStyle w:val="ConsPlusNonformat"/>
        <w:jc w:val="both"/>
      </w:pPr>
      <w:r>
        <w:t>Фамилия, имя и отчество (при наличии) _____________________________________</w:t>
      </w:r>
    </w:p>
    <w:p w:rsidR="006A159D" w:rsidRDefault="006A159D">
      <w:pPr>
        <w:pStyle w:val="ConsPlusNonformat"/>
        <w:jc w:val="both"/>
      </w:pPr>
    </w:p>
    <w:p w:rsidR="006A159D" w:rsidRDefault="006A159D">
      <w:pPr>
        <w:pStyle w:val="ConsPlusNonformat"/>
        <w:jc w:val="both"/>
      </w:pPr>
      <w:r>
        <w:t>Подпись ______________________</w:t>
      </w:r>
    </w:p>
    <w:p w:rsidR="006A159D" w:rsidRDefault="006A159D">
      <w:pPr>
        <w:pStyle w:val="ConsPlusNonformat"/>
        <w:jc w:val="both"/>
      </w:pPr>
    </w:p>
    <w:p w:rsidR="006A159D" w:rsidRDefault="006A159D">
      <w:pPr>
        <w:pStyle w:val="ConsPlusNonformat"/>
        <w:jc w:val="both"/>
      </w:pPr>
      <w:r>
        <w:t>Дата составления документа _____________________ Телефон __________________</w:t>
      </w:r>
    </w:p>
    <w:p w:rsidR="006A159D" w:rsidRDefault="006A159D">
      <w:pPr>
        <w:pStyle w:val="ConsPlusNonformat"/>
        <w:jc w:val="both"/>
      </w:pPr>
    </w:p>
    <w:p w:rsidR="006A159D" w:rsidRDefault="006A159D">
      <w:pPr>
        <w:pStyle w:val="ConsPlusNonformat"/>
        <w:jc w:val="both"/>
      </w:pPr>
      <w:r>
        <w:t>ЗАКЛЮЧЕНИЕ</w:t>
      </w:r>
    </w:p>
    <w:p w:rsidR="006A159D" w:rsidRDefault="006A159D">
      <w:pPr>
        <w:pStyle w:val="ConsPlusNonformat"/>
        <w:jc w:val="both"/>
      </w:pPr>
      <w:r>
        <w:t>С  целью  предотвращения негативных процессов или  снижения  ущерба  от  их</w:t>
      </w:r>
    </w:p>
    <w:p w:rsidR="006A159D" w:rsidRDefault="006A159D">
      <w:pPr>
        <w:pStyle w:val="ConsPlusNonformat"/>
        <w:jc w:val="both"/>
      </w:pPr>
      <w:r>
        <w:t>воздействия: ______________________________________________________________</w:t>
      </w: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jc w:val="both"/>
      </w:pPr>
    </w:p>
    <w:p w:rsidR="006A159D" w:rsidRDefault="006A1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525" w:rsidRDefault="00893525">
      <w:bookmarkStart w:id="5" w:name="_GoBack"/>
      <w:bookmarkEnd w:id="5"/>
    </w:p>
    <w:sectPr w:rsidR="00893525" w:rsidSect="00C7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9D"/>
    <w:rsid w:val="006A159D"/>
    <w:rsid w:val="008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42FF36CDBD3F0A5E090BA95333FDC810D6DFE45E51A2A8BB2EA61CAA9D7A00A8227551F7D4F33546A33662D84A0A10040C0CF38HBg0H" TargetMode="External"/><Relationship Id="rId13" Type="http://schemas.openxmlformats.org/officeDocument/2006/relationships/hyperlink" Target="consultantplus://offline/ref=D7F42FF36CDBD3F0A5E090BA95333FDC810D6DFE45E51A2A8BB2EA61CAA9D7A00A82275718744D6E0125323A68D1B3A00340C2CC24B0D0B5H9g5H" TargetMode="External"/><Relationship Id="rId18" Type="http://schemas.openxmlformats.org/officeDocument/2006/relationships/hyperlink" Target="consultantplus://offline/ref=D7F42FF36CDBD3F0A5E090BA95333FDC810D6DFE45E51A2A8BB2EA61CAA9D7A00A8227571C75416C517F223E2185BEBF035DDCCD3AB0HDg2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F42FF36CDBD3F0A5E090BA95333FDC810C60F94CE21A2A8BB2EA61CAA9D7A00A8227541A7C4F33546A33662D84A0A10040C0CF38HBg0H" TargetMode="External"/><Relationship Id="rId7" Type="http://schemas.openxmlformats.org/officeDocument/2006/relationships/hyperlink" Target="consultantplus://offline/ref=D7F42FF36CDBD3F0A5E090BA95333FDC860469FF45E71A2A8BB2EA61CAA9D7A00A8227571D7F1036417B6B6A2C9ABEA21D5CC2CDH3g8H" TargetMode="External"/><Relationship Id="rId12" Type="http://schemas.openxmlformats.org/officeDocument/2006/relationships/hyperlink" Target="consultantplus://offline/ref=D7F42FF36CDBD3F0A5E090BA95333FDC810D6DFE45E51A2A8BB2EA61CAA9D7A00A82275E1B7C4F33546A33662D84A0A10040C0CF38HBg0H" TargetMode="External"/><Relationship Id="rId17" Type="http://schemas.openxmlformats.org/officeDocument/2006/relationships/hyperlink" Target="consultantplus://offline/ref=D7F42FF36CDBD3F0A5E090BA95333FDC810C60F94CE21A2A8BB2EA61CAA9D7A00A82275F1D764F33546A33662D84A0A10040C0CF38HBg0H" TargetMode="External"/><Relationship Id="rId25" Type="http://schemas.openxmlformats.org/officeDocument/2006/relationships/hyperlink" Target="consultantplus://offline/ref=D7F42FF36CDBD3F0A5E090BA95333FDC810D6DFE45E51A2A8BB2EA61CAA9D7A00A822755117D4F33546A33662D84A0A10040C0CF38HBg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F42FF36CDBD3F0A5E090BA95333FDC810D6DFE45E51A2A8BB2EA61CAA9D7A00A82275E1C7D4F33546A33662D84A0A10040C0CF38HBg0H" TargetMode="External"/><Relationship Id="rId20" Type="http://schemas.openxmlformats.org/officeDocument/2006/relationships/hyperlink" Target="consultantplus://offline/ref=D7F42FF36CDBD3F0A5E090BA95333FDC810D6DFE45E51A2A8BB2EA61CAA9D7A00A82275F1D764F33546A33662D84A0A10040C0CF38HBg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42FF36CDBD3F0A5E090BA95333FDC810D6DFE45E51A2A8BB2EA61CAA9D7A00A822755107D4F33546A33662D84A0A10040C0CF38HBg0H" TargetMode="External"/><Relationship Id="rId11" Type="http://schemas.openxmlformats.org/officeDocument/2006/relationships/hyperlink" Target="consultantplus://offline/ref=D7F42FF36CDBD3F0A5E090BA95333FDC810D6DFE45E51A2A8BB2EA61CAA9D7A00A8227551E714F33546A33662D84A0A10040C0CF38HBg0H" TargetMode="External"/><Relationship Id="rId24" Type="http://schemas.openxmlformats.org/officeDocument/2006/relationships/hyperlink" Target="consultantplus://offline/ref=D7F42FF36CDBD3F0A5E090BA95333FDC810D6DFE45E51A2A8BB2EA61CAA9D7A00A822752187C4F33546A33662D84A0A10040C0CF38HBg0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7F42FF36CDBD3F0A5E090BA95333FDC810D6DFE45E51A2A8BB2EA61CAA9D7A00A82275510714F33546A33662D84A0A10040C0CF38HBg0H" TargetMode="External"/><Relationship Id="rId23" Type="http://schemas.openxmlformats.org/officeDocument/2006/relationships/hyperlink" Target="consultantplus://offline/ref=D7F42FF36CDBD3F0A5E090BA95333FDC810D6DFE45E51A2A8BB2EA61CAA9D7A00A8227541A7C4F33546A33662D84A0A10040C0CF38HBg0H" TargetMode="External"/><Relationship Id="rId10" Type="http://schemas.openxmlformats.org/officeDocument/2006/relationships/hyperlink" Target="consultantplus://offline/ref=D7F42FF36CDBD3F0A5E090BA95333FDC810D6DFE45E51A2A8BB2EA61CAA9D7A00A822757187441610725323A68D1B3A00340C2CC24B0D0B5H9g5H" TargetMode="External"/><Relationship Id="rId19" Type="http://schemas.openxmlformats.org/officeDocument/2006/relationships/hyperlink" Target="consultantplus://offline/ref=D7F42FF36CDBD3F0A5E090BA95333FDC810368FB43E01A2A8BB2EA61CAA9D7A00A822757187444660525323A68D1B3A00340C2CC24B0D0B5H9g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F42FF36CDBD3F0A5E090BA95333FDC810D6DFE45E51A2A8BB2EA61CAA9D7A00A822757187440600D25323A68D1B3A00340C2CC24B0D0B5H9g5H" TargetMode="External"/><Relationship Id="rId14" Type="http://schemas.openxmlformats.org/officeDocument/2006/relationships/hyperlink" Target="consultantplus://offline/ref=D7F42FF36CDBD3F0A5E090BA95333FDC810D6DFE45E51A2A8BB2EA61CAA9D7A00A8227551F724F33546A33662D84A0A10040C0CF38HBg0H" TargetMode="External"/><Relationship Id="rId22" Type="http://schemas.openxmlformats.org/officeDocument/2006/relationships/hyperlink" Target="consultantplus://offline/ref=D7F42FF36CDBD3F0A5E090BA95333FDC810D6DFE45E51A2A8BB2EA61CAA9D7A00A8227571C75456C517F223E2185BEBF035DDCCD3AB0HDg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5098</Words>
  <Characters>29061</Characters>
  <Application>Microsoft Office Word</Application>
  <DocSecurity>0</DocSecurity>
  <Lines>242</Lines>
  <Paragraphs>68</Paragraphs>
  <ScaleCrop>false</ScaleCrop>
  <Company/>
  <LinksUpToDate>false</LinksUpToDate>
  <CharactersWithSpaces>34091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2022-03-10T07:32:00Z</dcterms:created>
  <dcterms:modified xsi:type="dcterms:W3CDTF">2022-03-10T07:32:00Z</dcterms:modified>
</cp:coreProperties>
</file>